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CE3A2D"/>
          <w:spacing w:val="60"/>
          <w:sz w:val="18"/>
          <w:szCs w:val="18"/>
        </w:rPr>
        <w:t xml:space="preserve">BOARDMATCH</w:t>
      </w:r>
    </w:p>
    <w:p>
      <w:pPr>
        <w:spacing w:after="100"/>
      </w:pPr>
      <w:r>
        <w:rPr>
          <w:rFonts w:ascii="Calibri" w:cs="Calibri" w:eastAsia="Calibri" w:hAnsi="Calibri"/>
          <w:b/>
          <w:bCs/>
          <w:color w:val="14161A"/>
          <w:sz w:val="40"/>
          <w:szCs w:val="40"/>
        </w:rPr>
        <w:t xml:space="preserve">Request for Proposal — Community Association Management</w:t>
      </w:r>
    </w:p>
    <w:p>
      <w:pPr>
        <w:spacing w:after="60"/>
      </w:pPr>
      <w:r>
        <w:rPr>
          <w:rFonts w:ascii="Calibri" w:cs="Calibri" w:eastAsia="Calibri" w:hAnsi="Calibri"/>
          <w:color w:val="5A5D66"/>
          <w:sz w:val="22"/>
          <w:szCs w:val="22"/>
        </w:rPr>
        <w:t xml:space="preserve">A complete RFP a Board can send on its own. Fill in Part 1, send Parts 2 to 6 unchanged to every company you invite.</w:t>
      </w:r>
    </w:p>
    <w:p>
      <w:pPr>
        <w:pBdr>
          <w:bottom w:val="single" w:color="D9D9D6" w:sz="6"/>
        </w:pBdr>
        <w:spacing w:after="200" w:before="60"/>
      </w:pPr>
    </w:p>
    <w:p>
      <w:pPr>
        <w:pBdr>
          <w:left w:val="single" w:color="CE3A2D" w:sz="18" w:space="8"/>
        </w:pBdr>
        <w:spacing w:after="200" w:before="120"/>
        <w:ind w:left="200"/>
      </w:pPr>
      <w:r>
        <w:rPr>
          <w:rFonts w:ascii="Calibri" w:cs="Calibri" w:eastAsia="Calibri" w:hAnsi="Calibri"/>
          <w:i/>
          <w:iCs/>
          <w:color w:val="5A5D66"/>
          <w:sz w:val="19"/>
          <w:szCs w:val="19"/>
        </w:rPr>
        <w:t xml:space="preserve">Send the same document to every company, and require the answers in these tables rather than in a brochure. The moment two companies answer in different formats, you are no longer comparing them — you are guessing.</w:t>
      </w:r>
    </w:p>
    <w:p>
      <w:pPr>
        <w:pStyle w:val="Heading1"/>
        <w:spacing w:after="140" w:before="300"/>
      </w:pPr>
      <w:r>
        <w:rPr>
          <w:rFonts w:ascii="Calibri" w:cs="Calibri" w:eastAsia="Calibri" w:hAnsi="Calibri"/>
          <w:b/>
          <w:bCs/>
          <w:color w:val="14161A"/>
          <w:sz w:val="28"/>
          <w:szCs w:val="28"/>
        </w:rPr>
        <w:t xml:space="preserve">How to use this document</w:t>
      </w:r>
    </w:p>
    <w:p>
      <w:pPr>
        <w:pStyle w:val="ListParagraph"/>
        <w:numPr>
          <w:ilvl w:val="0"/>
          <w:numId w:val="2"/>
        </w:numPr>
        <w:spacing w:after="90" w:line="290"/>
      </w:pPr>
      <w:r>
        <w:rPr>
          <w:rFonts w:ascii="Calibri" w:cs="Calibri" w:eastAsia="Calibri" w:hAnsi="Calibri"/>
          <w:color w:val="14161A"/>
          <w:sz w:val="21"/>
          <w:szCs w:val="21"/>
        </w:rPr>
        <w:t xml:space="preserve">Complete Part 1 only. Everything after it goes out unchanged.</w:t>
      </w:r>
    </w:p>
    <w:p>
      <w:pPr>
        <w:pStyle w:val="ListParagraph"/>
        <w:numPr>
          <w:ilvl w:val="0"/>
          <w:numId w:val="2"/>
        </w:numPr>
        <w:spacing w:after="90" w:line="290"/>
      </w:pPr>
      <w:r>
        <w:rPr>
          <w:rFonts w:ascii="Calibri" w:cs="Calibri" w:eastAsia="Calibri" w:hAnsi="Calibri"/>
          <w:color w:val="14161A"/>
          <w:sz w:val="21"/>
          <w:szCs w:val="21"/>
        </w:rPr>
        <w:t xml:space="preserve">Set one deadline for every company and hold it. A late proposal is a data point.</w:t>
      </w:r>
    </w:p>
    <w:p>
      <w:pPr>
        <w:pStyle w:val="ListParagraph"/>
        <w:numPr>
          <w:ilvl w:val="0"/>
          <w:numId w:val="2"/>
        </w:numPr>
        <w:spacing w:after="90" w:line="290"/>
      </w:pPr>
      <w:r>
        <w:rPr>
          <w:rFonts w:ascii="Calibri" w:cs="Calibri" w:eastAsia="Calibri" w:hAnsi="Calibri"/>
          <w:color w:val="14161A"/>
          <w:sz w:val="21"/>
          <w:szCs w:val="21"/>
        </w:rPr>
        <w:t xml:space="preserve">Do not tell a company what your current fee is, or what another company quoted. You are trying to find the market price, not confirm it.</w:t>
      </w:r>
    </w:p>
    <w:p>
      <w:pPr>
        <w:pStyle w:val="ListParagraph"/>
        <w:numPr>
          <w:ilvl w:val="0"/>
          <w:numId w:val="2"/>
        </w:numPr>
        <w:spacing w:after="90" w:line="290"/>
      </w:pPr>
      <w:r>
        <w:rPr>
          <w:rFonts w:ascii="Calibri" w:cs="Calibri" w:eastAsia="Calibri" w:hAnsi="Calibri"/>
          <w:color w:val="14161A"/>
          <w:sz w:val="21"/>
          <w:szCs w:val="21"/>
        </w:rPr>
        <w:t xml:space="preserve">Require the ancillary fee schedule in Part 4 as a condition of consideration. A proposal without it is not a price.</w:t>
      </w:r>
    </w:p>
    <w:p>
      <w:pPr>
        <w:pStyle w:val="ListParagraph"/>
        <w:numPr>
          <w:ilvl w:val="0"/>
          <w:numId w:val="2"/>
        </w:numPr>
        <w:spacing w:after="90" w:line="290"/>
      </w:pPr>
      <w:r>
        <w:rPr>
          <w:rFonts w:ascii="Calibri" w:cs="Calibri" w:eastAsia="Calibri" w:hAnsi="Calibri"/>
          <w:color w:val="14161A"/>
          <w:sz w:val="21"/>
          <w:szCs w:val="21"/>
        </w:rPr>
        <w:t xml:space="preserve">Ask every company to hold its pricing firm for at least 60 days. Boards meet monthly; a 30-day quote expires before you can vote on it.</w:t>
      </w:r>
    </w:p>
    <w:p>
      <w:pPr>
        <w:pStyle w:val="Heading1"/>
        <w:spacing w:after="140" w:before="300"/>
      </w:pPr>
      <w:r>
        <w:rPr>
          <w:rFonts w:ascii="Calibri" w:cs="Calibri" w:eastAsia="Calibri" w:hAnsi="Calibri"/>
          <w:b/>
          <w:bCs/>
          <w:color w:val="14161A"/>
          <w:sz w:val="28"/>
          <w:szCs w:val="28"/>
        </w:rPr>
        <w:t xml:space="preserve">Part 1 — About our community</w:t>
      </w:r>
    </w:p>
    <w:p>
      <w:pPr>
        <w:spacing w:after="40" w:before="140"/>
      </w:pPr>
      <w:r>
        <w:rPr>
          <w:rFonts w:ascii="Calibri" w:cs="Calibri" w:eastAsia="Calibri" w:hAnsi="Calibri"/>
          <w:b/>
          <w:bCs/>
          <w:color w:val="5A5D66"/>
          <w:sz w:val="20"/>
          <w:szCs w:val="20"/>
        </w:rPr>
        <w:t xml:space="preserve">Legal name of the association</w:t>
      </w:r>
    </w:p>
    <w:p>
      <w:pPr>
        <w:pBdr>
          <w:bottom w:val="single" w:color="D9D9D6" w:sz="4"/>
        </w:pBdr>
        <w:spacing w:after="90"/>
      </w:pPr>
    </w:p>
    <w:p>
      <w:pPr>
        <w:spacing w:after="40" w:before="140"/>
      </w:pPr>
      <w:r>
        <w:rPr>
          <w:rFonts w:ascii="Calibri" w:cs="Calibri" w:eastAsia="Calibri" w:hAnsi="Calibri"/>
          <w:b/>
          <w:bCs/>
          <w:color w:val="5A5D66"/>
          <w:sz w:val="20"/>
          <w:szCs w:val="20"/>
        </w:rPr>
        <w:t xml:space="preserve">Property address / city / state / ZIP</w:t>
      </w:r>
    </w:p>
    <w:p>
      <w:pPr>
        <w:pBdr>
          <w:bottom w:val="single" w:color="D9D9D6" w:sz="4"/>
        </w:pBdr>
        <w:spacing w:after="90"/>
      </w:pPr>
    </w:p>
    <w:p>
      <w:pPr>
        <w:spacing w:after="40" w:before="140"/>
      </w:pPr>
      <w:r>
        <w:rPr>
          <w:rFonts w:ascii="Calibri" w:cs="Calibri" w:eastAsia="Calibri" w:hAnsi="Calibri"/>
          <w:b/>
          <w:bCs/>
          <w:color w:val="5A5D66"/>
          <w:sz w:val="20"/>
          <w:szCs w:val="20"/>
        </w:rPr>
        <w:t xml:space="preserve">Association type (HOA, condominium, co-op, POA, master, mixed-use)</w:t>
      </w:r>
    </w:p>
    <w:p>
      <w:pPr>
        <w:pBdr>
          <w:bottom w:val="single" w:color="D9D9D6" w:sz="4"/>
        </w:pBdr>
        <w:spacing w:after="9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2600"/>
        <w:gridCol w:w="1800"/>
      </w:tblGrid>
      <w:tr>
        <w:trPr>
          <w:tblHeader/>
        </w:trPr>
        <w:tc>
          <w:tcPr>
            <w:tcW w:type="dxa" w:w="26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Item</w:t>
            </w:r>
          </w:p>
        </w:tc>
        <w:tc>
          <w:tcPr>
            <w:tcW w:type="dxa" w:w="26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Detail</w:t>
            </w:r>
          </w:p>
        </w:tc>
        <w:tc>
          <w:tcPr>
            <w:tcW w:type="dxa" w:w="26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Item</w:t>
            </w:r>
          </w:p>
        </w:tc>
        <w:tc>
          <w:tcPr>
            <w:tcW w:type="dxa" w:w="18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Detail</w:t>
            </w:r>
          </w:p>
        </w:tc>
      </w:tr>
      <w:tr>
        <w:tc>
          <w:tcPr>
            <w:tcW w:type="dxa" w:w="2600"/>
            <w:tcMar>
              <w:top w:type="dxa" w:w="90"/>
              <w:left w:type="dxa" w:w="120"/>
              <w:bottom w:type="dxa" w:w="90"/>
              <w:right w:type="dxa" w:w="120"/>
            </w:tcMar>
          </w:tcPr>
          <w:p>
            <w:r>
              <w:rPr>
                <w:rFonts w:ascii="Calibri" w:cs="Calibri" w:eastAsia="Calibri" w:hAnsi="Calibri"/>
                <w:color w:val="14161A"/>
                <w:sz w:val="19"/>
                <w:szCs w:val="19"/>
              </w:rPr>
              <w:t xml:space="preserve">Total units / lots</w:t>
            </w:r>
          </w:p>
        </w:tc>
        <w:tc>
          <w:tcPr>
            <w:tcW w:type="dxa" w:w="26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2600"/>
            <w:tcMar>
              <w:top w:type="dxa" w:w="90"/>
              <w:left w:type="dxa" w:w="120"/>
              <w:bottom w:type="dxa" w:w="90"/>
              <w:right w:type="dxa" w:w="120"/>
            </w:tcMar>
          </w:tcPr>
          <w:p>
            <w:r>
              <w:rPr>
                <w:rFonts w:ascii="Calibri" w:cs="Calibri" w:eastAsia="Calibri" w:hAnsi="Calibri"/>
                <w:color w:val="14161A"/>
                <w:sz w:val="19"/>
                <w:szCs w:val="19"/>
              </w:rPr>
              <w:t xml:space="preserve">Year built</w:t>
            </w:r>
          </w:p>
        </w:tc>
        <w:tc>
          <w:tcPr>
            <w:tcW w:type="dxa" w:w="18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Number of buildings</w:t>
            </w:r>
          </w:p>
        </w:tc>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Stories</w:t>
            </w:r>
          </w:p>
        </w:tc>
        <w:tc>
          <w:tcPr>
            <w:tcW w:type="dxa" w:w="18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2600"/>
            <w:tcMar>
              <w:top w:type="dxa" w:w="90"/>
              <w:left w:type="dxa" w:w="120"/>
              <w:bottom w:type="dxa" w:w="90"/>
              <w:right w:type="dxa" w:w="120"/>
            </w:tcMar>
          </w:tcPr>
          <w:p>
            <w:r>
              <w:rPr>
                <w:rFonts w:ascii="Calibri" w:cs="Calibri" w:eastAsia="Calibri" w:hAnsi="Calibri"/>
                <w:color w:val="14161A"/>
                <w:sz w:val="19"/>
                <w:szCs w:val="19"/>
              </w:rPr>
              <w:t xml:space="preserve">Annual operating budget</w:t>
            </w:r>
          </w:p>
        </w:tc>
        <w:tc>
          <w:tcPr>
            <w:tcW w:type="dxa" w:w="26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2600"/>
            <w:tcMar>
              <w:top w:type="dxa" w:w="90"/>
              <w:left w:type="dxa" w:w="120"/>
              <w:bottom w:type="dxa" w:w="90"/>
              <w:right w:type="dxa" w:w="120"/>
            </w:tcMar>
          </w:tcPr>
          <w:p>
            <w:r>
              <w:rPr>
                <w:rFonts w:ascii="Calibri" w:cs="Calibri" w:eastAsia="Calibri" w:hAnsi="Calibri"/>
                <w:color w:val="14161A"/>
                <w:sz w:val="19"/>
                <w:szCs w:val="19"/>
              </w:rPr>
              <w:t xml:space="preserve">Reserve balance</w:t>
            </w:r>
          </w:p>
        </w:tc>
        <w:tc>
          <w:tcPr>
            <w:tcW w:type="dxa" w:w="18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Current monthly assessment</w:t>
            </w:r>
          </w:p>
        </w:tc>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Delinquency rate</w:t>
            </w:r>
          </w:p>
        </w:tc>
        <w:tc>
          <w:tcPr>
            <w:tcW w:type="dxa" w:w="18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2600"/>
            <w:tcMar>
              <w:top w:type="dxa" w:w="90"/>
              <w:left w:type="dxa" w:w="120"/>
              <w:bottom w:type="dxa" w:w="90"/>
              <w:right w:type="dxa" w:w="120"/>
            </w:tcMar>
          </w:tcPr>
          <w:p>
            <w:r>
              <w:rPr>
                <w:rFonts w:ascii="Calibri" w:cs="Calibri" w:eastAsia="Calibri" w:hAnsi="Calibri"/>
                <w:color w:val="14161A"/>
                <w:sz w:val="19"/>
                <w:szCs w:val="19"/>
              </w:rPr>
              <w:t xml:space="preserve">On-site staff today</w:t>
            </w:r>
          </w:p>
        </w:tc>
        <w:tc>
          <w:tcPr>
            <w:tcW w:type="dxa" w:w="26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2600"/>
            <w:tcMar>
              <w:top w:type="dxa" w:w="90"/>
              <w:left w:type="dxa" w:w="120"/>
              <w:bottom w:type="dxa" w:w="90"/>
              <w:right w:type="dxa" w:w="120"/>
            </w:tcMar>
          </w:tcPr>
          <w:p>
            <w:r>
              <w:rPr>
                <w:rFonts w:ascii="Calibri" w:cs="Calibri" w:eastAsia="Calibri" w:hAnsi="Calibri"/>
                <w:color w:val="14161A"/>
                <w:sz w:val="19"/>
                <w:szCs w:val="19"/>
              </w:rPr>
              <w:t xml:space="preserve">Self-managed?</w:t>
            </w:r>
          </w:p>
        </w:tc>
        <w:tc>
          <w:tcPr>
            <w:tcW w:type="dxa" w:w="18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Target start date</w:t>
            </w:r>
          </w:p>
        </w:tc>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2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Notice window in current contract</w:t>
            </w:r>
          </w:p>
        </w:tc>
        <w:tc>
          <w:tcPr>
            <w:tcW w:type="dxa" w:w="18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bl>
    <w:p>
      <w:pPr>
        <w:spacing w:after="40" w:before="140"/>
      </w:pPr>
      <w:r>
        <w:rPr>
          <w:rFonts w:ascii="Calibri" w:cs="Calibri" w:eastAsia="Calibri" w:hAnsi="Calibri"/>
          <w:b/>
          <w:bCs/>
          <w:color w:val="5A5D66"/>
          <w:sz w:val="20"/>
          <w:szCs w:val="20"/>
        </w:rPr>
        <w:t xml:space="preserve">Amenities requiring management (pool, clubhouse, gate, elevator, lift station, marina, golf, other)</w:t>
      </w:r>
    </w:p>
    <w:p>
      <w:pPr>
        <w:pBdr>
          <w:bottom w:val="single" w:color="D9D9D6" w:sz="4"/>
        </w:pBdr>
        <w:spacing w:after="90"/>
      </w:pPr>
    </w:p>
    <w:p>
      <w:pPr>
        <w:pBdr>
          <w:bottom w:val="single" w:color="D9D9D6" w:sz="4"/>
        </w:pBdr>
        <w:spacing w:after="90"/>
      </w:pPr>
    </w:p>
    <w:p>
      <w:pPr>
        <w:spacing w:after="40" w:before="140"/>
      </w:pPr>
      <w:r>
        <w:rPr>
          <w:rFonts w:ascii="Calibri" w:cs="Calibri" w:eastAsia="Calibri" w:hAnsi="Calibri"/>
          <w:b/>
          <w:bCs/>
          <w:color w:val="5A5D66"/>
          <w:sz w:val="20"/>
          <w:szCs w:val="20"/>
        </w:rPr>
        <w:t xml:space="preserve">The three problems we most need solved</w:t>
      </w:r>
    </w:p>
    <w:p>
      <w:pPr>
        <w:pBdr>
          <w:bottom w:val="single" w:color="D9D9D6" w:sz="4"/>
        </w:pBdr>
        <w:spacing w:after="90"/>
      </w:pPr>
    </w:p>
    <w:p>
      <w:pPr>
        <w:pBdr>
          <w:bottom w:val="single" w:color="D9D9D6" w:sz="4"/>
        </w:pBdr>
        <w:spacing w:after="90"/>
      </w:pPr>
    </w:p>
    <w:p>
      <w:pPr>
        <w:pBdr>
          <w:bottom w:val="single" w:color="D9D9D6" w:sz="4"/>
        </w:pBdr>
        <w:spacing w:after="90"/>
      </w:pPr>
    </w:p>
    <w:p>
      <w:pPr>
        <w:spacing w:after="40" w:before="140"/>
      </w:pPr>
      <w:r>
        <w:rPr>
          <w:rFonts w:ascii="Calibri" w:cs="Calibri" w:eastAsia="Calibri" w:hAnsi="Calibri"/>
          <w:b/>
          <w:bCs/>
          <w:color w:val="5A5D66"/>
          <w:sz w:val="20"/>
          <w:szCs w:val="20"/>
        </w:rPr>
        <w:t xml:space="preserve">Proposal due date, and who to send it to</w:t>
      </w:r>
    </w:p>
    <w:p>
      <w:pPr>
        <w:pBdr>
          <w:bottom w:val="single" w:color="D9D9D6" w:sz="4"/>
        </w:pBdr>
        <w:spacing w:after="90"/>
      </w:pPr>
    </w:p>
    <w:p>
      <w:pPr>
        <w:pStyle w:val="Heading1"/>
        <w:spacing w:after="140" w:before="300"/>
      </w:pPr>
      <w:r>
        <w:rPr>
          <w:rFonts w:ascii="Calibri" w:cs="Calibri" w:eastAsia="Calibri" w:hAnsi="Calibri"/>
          <w:b/>
          <w:bCs/>
          <w:color w:val="14161A"/>
          <w:sz w:val="28"/>
          <w:szCs w:val="28"/>
        </w:rPr>
        <w:t xml:space="preserve">Part 2 — Scope of services</w:t>
      </w:r>
    </w:p>
    <w:p>
      <w:pPr>
        <w:spacing w:after="140" w:line="300"/>
      </w:pPr>
      <w:r>
        <w:rPr>
          <w:rFonts w:ascii="Calibri" w:cs="Calibri" w:eastAsia="Calibri" w:hAnsi="Calibri"/>
          <w:color w:val="14161A"/>
          <w:sz w:val="21"/>
          <w:szCs w:val="21"/>
        </w:rPr>
        <w:t xml:space="preserve">For every line below, mark exactly one of three states. Do not leave a line blank, and do not write “as needed” — write which of the three it is, and if it is an extra, write the price.</w:t>
      </w:r>
    </w:p>
    <w:p>
      <w:pPr>
        <w:spacing w:after="140" w:line="300"/>
      </w:pPr>
      <w:r>
        <w:rPr>
          <w:rFonts w:ascii="Calibri" w:cs="Calibri" w:eastAsia="Calibri" w:hAnsi="Calibri"/>
          <w:b/>
          <w:bCs/>
          <w:color w:val="5A5D66"/>
          <w:sz w:val="20"/>
          <w:szCs w:val="20"/>
        </w:rPr>
        <w:t xml:space="preserve">I = included in the base fee · E = extra, with the price stated in Part 4 · N = not offered</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5200"/>
        <w:gridCol w:w="800"/>
        <w:gridCol w:w="800"/>
        <w:gridCol w:w="2800"/>
      </w:tblGrid>
      <w:tr>
        <w:trPr>
          <w:tblHeader/>
        </w:trPr>
        <w:tc>
          <w:tcPr>
            <w:tcW w:type="dxa" w:w="52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Service</w:t>
            </w:r>
          </w:p>
        </w:tc>
        <w:tc>
          <w:tcPr>
            <w:tcW w:type="dxa" w:w="8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I</w:t>
            </w:r>
          </w:p>
        </w:tc>
        <w:tc>
          <w:tcPr>
            <w:tcW w:type="dxa" w:w="8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E</w:t>
            </w:r>
          </w:p>
        </w:tc>
        <w:tc>
          <w:tcPr>
            <w:tcW w:type="dxa" w:w="28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If extra — price and basis</w:t>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Monthly financial statement package</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Annual budget preparation and draft</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Accounts payable, invoice coding and approval routing</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Assessment billing, collection and delinquency tracking</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Delinquency escalation and coordination with counsel</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Reserve study coordination and funding recommendation</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Annual audit / review coordination with the CPA</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Tax return preparation or coordination</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Board meeting attendance — regular</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Board meeting attendance — additional / special</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Annual meeting, notices, proxies and election administration</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Minutes preparation and distribution</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Covenant inspections — frequency stated</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Violation notices, tracking and hearing coordination</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Architectural / ARC application administration</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Vendor solicitation, bid comparison and contract administration</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Routine maintenance dispatch and follow-up</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24/7 emergency response line, answered by a person</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Capital project management and oversight</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Insurance renewal support and claims administration</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Resale certificates, estoppels and lender questionnaires</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Homeowner and Board web portal</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tcMar>
              <w:top w:type="dxa" w:w="90"/>
              <w:left w:type="dxa" w:w="120"/>
              <w:bottom w:type="dxa" w:w="90"/>
              <w:right w:type="dxa" w:w="120"/>
            </w:tcMar>
          </w:tcPr>
          <w:p>
            <w:r>
              <w:rPr>
                <w:rFonts w:ascii="Calibri" w:cs="Calibri" w:eastAsia="Calibri" w:hAnsi="Calibri"/>
                <w:color w:val="14161A"/>
                <w:sz w:val="18"/>
                <w:szCs w:val="18"/>
              </w:rPr>
              <w:t xml:space="preserve">Records retention, storage and transfer on exit</w:t>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On-site staffing — hours and roles stated</w:t>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c>
          <w:tcPr>
            <w:tcW w:type="dxa" w:w="28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bl>
    <w:p>
      <w:pPr>
        <w:pBdr>
          <w:left w:val="single" w:color="CE3A2D" w:sz="18" w:space="8"/>
        </w:pBdr>
        <w:spacing w:after="200" w:before="120"/>
        <w:ind w:left="200"/>
      </w:pPr>
      <w:r>
        <w:rPr>
          <w:rFonts w:ascii="Calibri" w:cs="Calibri" w:eastAsia="Calibri" w:hAnsi="Calibri"/>
          <w:i/>
          <w:iCs/>
          <w:color w:val="5A5D66"/>
          <w:sz w:val="19"/>
          <w:szCs w:val="19"/>
        </w:rPr>
        <w:t xml:space="preserve">The three-state answer is the whole point of this section. “Included where appropriate” is the sentence that becomes an invoice in month four.</w:t>
      </w:r>
    </w:p>
    <w:p>
      <w:pPr>
        <w:pStyle w:val="Heading1"/>
        <w:spacing w:after="140" w:before="300"/>
      </w:pPr>
      <w:r>
        <w:rPr>
          <w:rFonts w:ascii="Calibri" w:cs="Calibri" w:eastAsia="Calibri" w:hAnsi="Calibri"/>
          <w:b/>
          <w:bCs/>
          <w:color w:val="14161A"/>
          <w:sz w:val="28"/>
          <w:szCs w:val="28"/>
        </w:rPr>
        <w:t xml:space="preserve">Part 3 — Pricing</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400"/>
        <w:gridCol w:w="3000"/>
        <w:gridCol w:w="3200"/>
      </w:tblGrid>
      <w:tr>
        <w:trPr>
          <w:tblHeader/>
        </w:trPr>
        <w:tc>
          <w:tcPr>
            <w:tcW w:type="dxa" w:w="34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Item</w:t>
            </w:r>
          </w:p>
        </w:tc>
        <w:tc>
          <w:tcPr>
            <w:tcW w:type="dxa" w:w="30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Your answer</w:t>
            </w:r>
          </w:p>
        </w:tc>
        <w:tc>
          <w:tcPr>
            <w:tcW w:type="dxa" w:w="32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Notes</w:t>
            </w:r>
          </w:p>
        </w:tc>
      </w:tr>
      <w:tr>
        <w:tc>
          <w:tcPr>
            <w:tcW w:type="dxa" w:w="3400"/>
            <w:tcMar>
              <w:top w:type="dxa" w:w="90"/>
              <w:left w:type="dxa" w:w="120"/>
              <w:bottom w:type="dxa" w:w="90"/>
              <w:right w:type="dxa" w:w="120"/>
            </w:tcMar>
          </w:tcPr>
          <w:p>
            <w:r>
              <w:rPr>
                <w:rFonts w:ascii="Calibri" w:cs="Calibri" w:eastAsia="Calibri" w:hAnsi="Calibri"/>
                <w:color w:val="14161A"/>
                <w:sz w:val="19"/>
                <w:szCs w:val="19"/>
              </w:rPr>
              <w:t xml:space="preserve">Base management fee</w:t>
            </w:r>
          </w:p>
        </w:tc>
        <w:tc>
          <w:tcPr>
            <w:tcW w:type="dxa" w:w="30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tcMar>
              <w:top w:type="dxa" w:w="90"/>
              <w:left w:type="dxa" w:w="120"/>
              <w:bottom w:type="dxa" w:w="90"/>
              <w:right w:type="dxa" w:w="120"/>
            </w:tcMar>
          </w:tcPr>
          <w:p>
            <w:r>
              <w:rPr>
                <w:rFonts w:ascii="Calibri" w:cs="Calibri" w:eastAsia="Calibri" w:hAnsi="Calibri"/>
                <w:color w:val="14161A"/>
                <w:sz w:val="19"/>
                <w:szCs w:val="19"/>
              </w:rPr>
              <w:t xml:space="preserve">State the unit: per door per month, or flat monthly</w:t>
            </w:r>
          </w:p>
        </w:tc>
      </w:tr>
      <w:tr>
        <w:tc>
          <w:tcPr>
            <w:tcW w:type="dxa" w:w="3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Basis of that fee</w:t>
            </w:r>
          </w:p>
        </w:tc>
        <w:tc>
          <w:tcPr>
            <w:tcW w:type="dxa" w:w="3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Per unit / flat / % of budget</w:t>
            </w:r>
          </w:p>
        </w:tc>
      </w:tr>
      <w:tr>
        <w:tc>
          <w:tcPr>
            <w:tcW w:type="dxa" w:w="3400"/>
            <w:tcMar>
              <w:top w:type="dxa" w:w="90"/>
              <w:left w:type="dxa" w:w="120"/>
              <w:bottom w:type="dxa" w:w="90"/>
              <w:right w:type="dxa" w:w="120"/>
            </w:tcMar>
          </w:tcPr>
          <w:p>
            <w:r>
              <w:rPr>
                <w:rFonts w:ascii="Calibri" w:cs="Calibri" w:eastAsia="Calibri" w:hAnsi="Calibri"/>
                <w:color w:val="14161A"/>
                <w:sz w:val="19"/>
                <w:szCs w:val="19"/>
              </w:rPr>
              <w:t xml:space="preserve">Fee if we add or lose units</w:t>
            </w:r>
          </w:p>
        </w:tc>
        <w:tc>
          <w:tcPr>
            <w:tcW w:type="dxa" w:w="30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tcMar>
              <w:top w:type="dxa" w:w="90"/>
              <w:left w:type="dxa" w:w="120"/>
              <w:bottom w:type="dxa" w:w="90"/>
              <w:right w:type="dxa" w:w="120"/>
            </w:tcMar>
          </w:tcPr>
          <w:p>
            <w:r>
              <w:rPr>
                <w:rFonts w:ascii="Calibri" w:cs="Calibri" w:eastAsia="Calibri" w:hAnsi="Calibri"/>
                <w:color w:val="14161A"/>
                <w:sz w:val="19"/>
                <w:szCs w:val="19"/>
              </w:rPr>
              <w:t xml:space="preserve">Does the fee move with door count?</w:t>
            </w:r>
          </w:p>
        </w:tc>
      </w:tr>
      <w:tr>
        <w:tc>
          <w:tcPr>
            <w:tcW w:type="dxa" w:w="3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Initial contract term</w:t>
            </w:r>
          </w:p>
        </w:tc>
        <w:tc>
          <w:tcPr>
            <w:tcW w:type="dxa" w:w="3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Months</w:t>
            </w:r>
          </w:p>
        </w:tc>
      </w:tr>
      <w:tr>
        <w:tc>
          <w:tcPr>
            <w:tcW w:type="dxa" w:w="3400"/>
            <w:tcMar>
              <w:top w:type="dxa" w:w="90"/>
              <w:left w:type="dxa" w:w="120"/>
              <w:bottom w:type="dxa" w:w="90"/>
              <w:right w:type="dxa" w:w="120"/>
            </w:tcMar>
          </w:tcPr>
          <w:p>
            <w:r>
              <w:rPr>
                <w:rFonts w:ascii="Calibri" w:cs="Calibri" w:eastAsia="Calibri" w:hAnsi="Calibri"/>
                <w:color w:val="14161A"/>
                <w:sz w:val="19"/>
                <w:szCs w:val="19"/>
              </w:rPr>
              <w:t xml:space="preserve">Automatic renewal</w:t>
            </w:r>
          </w:p>
        </w:tc>
        <w:tc>
          <w:tcPr>
            <w:tcW w:type="dxa" w:w="30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tcMar>
              <w:top w:type="dxa" w:w="90"/>
              <w:left w:type="dxa" w:w="120"/>
              <w:bottom w:type="dxa" w:w="90"/>
              <w:right w:type="dxa" w:w="120"/>
            </w:tcMar>
          </w:tcPr>
          <w:p>
            <w:r>
              <w:rPr>
                <w:rFonts w:ascii="Calibri" w:cs="Calibri" w:eastAsia="Calibri" w:hAnsi="Calibri"/>
                <w:color w:val="14161A"/>
                <w:sz w:val="19"/>
                <w:szCs w:val="19"/>
              </w:rPr>
              <w:t xml:space="preserve">Yes / no, and for how long</w:t>
            </w:r>
          </w:p>
        </w:tc>
      </w:tr>
      <w:tr>
        <w:tc>
          <w:tcPr>
            <w:tcW w:type="dxa" w:w="3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Annual escalator</w:t>
            </w:r>
          </w:p>
        </w:tc>
        <w:tc>
          <w:tcPr>
            <w:tcW w:type="dxa" w:w="3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Fixed %, CPI, or negotiated</w:t>
            </w:r>
          </w:p>
        </w:tc>
      </w:tr>
      <w:tr>
        <w:tc>
          <w:tcPr>
            <w:tcW w:type="dxa" w:w="3400"/>
            <w:tcMar>
              <w:top w:type="dxa" w:w="90"/>
              <w:left w:type="dxa" w:w="120"/>
              <w:bottom w:type="dxa" w:w="90"/>
              <w:right w:type="dxa" w:w="120"/>
            </w:tcMar>
          </w:tcPr>
          <w:p>
            <w:r>
              <w:rPr>
                <w:rFonts w:ascii="Calibri" w:cs="Calibri" w:eastAsia="Calibri" w:hAnsi="Calibri"/>
                <w:color w:val="14161A"/>
                <w:sz w:val="19"/>
                <w:szCs w:val="19"/>
              </w:rPr>
              <w:t xml:space="preserve">Escalator cap</w:t>
            </w:r>
          </w:p>
        </w:tc>
        <w:tc>
          <w:tcPr>
            <w:tcW w:type="dxa" w:w="30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tcMar>
              <w:top w:type="dxa" w:w="90"/>
              <w:left w:type="dxa" w:w="120"/>
              <w:bottom w:type="dxa" w:w="90"/>
              <w:right w:type="dxa" w:w="120"/>
            </w:tcMar>
          </w:tcPr>
          <w:p>
            <w:r>
              <w:rPr>
                <w:rFonts w:ascii="Calibri" w:cs="Calibri" w:eastAsia="Calibri" w:hAnsi="Calibri"/>
                <w:color w:val="14161A"/>
                <w:sz w:val="19"/>
                <w:szCs w:val="19"/>
              </w:rPr>
              <w:t xml:space="preserve">State the cap, or state that there is none</w:t>
            </w:r>
          </w:p>
        </w:tc>
      </w:tr>
      <w:tr>
        <w:tc>
          <w:tcPr>
            <w:tcW w:type="dxa" w:w="3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Year 2 total, at our unit count</w:t>
            </w:r>
          </w:p>
        </w:tc>
        <w:tc>
          <w:tcPr>
            <w:tcW w:type="dxa" w:w="3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Your figure, not ours</w:t>
            </w:r>
          </w:p>
        </w:tc>
      </w:tr>
      <w:tr>
        <w:tc>
          <w:tcPr>
            <w:tcW w:type="dxa" w:w="3400"/>
            <w:tcMar>
              <w:top w:type="dxa" w:w="90"/>
              <w:left w:type="dxa" w:w="120"/>
              <w:bottom w:type="dxa" w:w="90"/>
              <w:right w:type="dxa" w:w="120"/>
            </w:tcMar>
          </w:tcPr>
          <w:p>
            <w:r>
              <w:rPr>
                <w:rFonts w:ascii="Calibri" w:cs="Calibri" w:eastAsia="Calibri" w:hAnsi="Calibri"/>
                <w:color w:val="14161A"/>
                <w:sz w:val="19"/>
                <w:szCs w:val="19"/>
              </w:rPr>
              <w:t xml:space="preserve">Year 3 total, at our unit count</w:t>
            </w:r>
          </w:p>
        </w:tc>
        <w:tc>
          <w:tcPr>
            <w:tcW w:type="dxa" w:w="30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tcMar>
              <w:top w:type="dxa" w:w="90"/>
              <w:left w:type="dxa" w:w="120"/>
              <w:bottom w:type="dxa" w:w="90"/>
              <w:right w:type="dxa" w:w="120"/>
            </w:tcMar>
          </w:tcPr>
          <w:p>
            <w:r>
              <w:rPr>
                <w:rFonts w:ascii="Calibri" w:cs="Calibri" w:eastAsia="Calibri" w:hAnsi="Calibri"/>
                <w:color w:val="14161A"/>
                <w:sz w:val="19"/>
                <w:szCs w:val="19"/>
              </w:rPr>
              <w:t xml:space="preserve">Your figure, not ours</w:t>
            </w:r>
          </w:p>
        </w:tc>
      </w:tr>
      <w:tr>
        <w:tc>
          <w:tcPr>
            <w:tcW w:type="dxa" w:w="3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Onboarding / transition fee</w:t>
            </w:r>
          </w:p>
        </w:tc>
        <w:tc>
          <w:tcPr>
            <w:tcW w:type="dxa" w:w="3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One-time</w:t>
            </w:r>
          </w:p>
        </w:tc>
      </w:tr>
      <w:tr>
        <w:tc>
          <w:tcPr>
            <w:tcW w:type="dxa" w:w="3400"/>
            <w:tcMar>
              <w:top w:type="dxa" w:w="90"/>
              <w:left w:type="dxa" w:w="120"/>
              <w:bottom w:type="dxa" w:w="90"/>
              <w:right w:type="dxa" w:w="120"/>
            </w:tcMar>
          </w:tcPr>
          <w:p>
            <w:r>
              <w:rPr>
                <w:rFonts w:ascii="Calibri" w:cs="Calibri" w:eastAsia="Calibri" w:hAnsi="Calibri"/>
                <w:color w:val="14161A"/>
                <w:sz w:val="19"/>
                <w:szCs w:val="19"/>
              </w:rPr>
              <w:t xml:space="preserve">Cost to terminate for convenience</w:t>
            </w:r>
          </w:p>
        </w:tc>
        <w:tc>
          <w:tcPr>
            <w:tcW w:type="dxa" w:w="3000"/>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tcMar>
              <w:top w:type="dxa" w:w="90"/>
              <w:left w:type="dxa" w:w="120"/>
              <w:bottom w:type="dxa" w:w="90"/>
              <w:right w:type="dxa" w:w="120"/>
            </w:tcMar>
          </w:tcPr>
          <w:p>
            <w:r>
              <w:rPr>
                <w:rFonts w:ascii="Calibri" w:cs="Calibri" w:eastAsia="Calibri" w:hAnsi="Calibri"/>
                <w:color w:val="14161A"/>
                <w:sz w:val="19"/>
                <w:szCs w:val="19"/>
              </w:rPr>
              <w:t xml:space="preserve">Notice required and any fee</w:t>
            </w:r>
          </w:p>
        </w:tc>
      </w:tr>
      <w:tr>
        <w:tc>
          <w:tcPr>
            <w:tcW w:type="dxa" w:w="3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Cost to obtain our records on exit</w:t>
            </w:r>
          </w:p>
        </w:tc>
        <w:tc>
          <w:tcPr>
            <w:tcW w:type="dxa" w:w="3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c>
          <w:tcPr>
            <w:tcW w:type="dxa" w:w="3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State “none” if none</w:t>
            </w:r>
          </w:p>
        </w:tc>
      </w:tr>
    </w:tbl>
    <w:p>
      <w:pPr>
        <w:pBdr>
          <w:left w:val="single" w:color="CE3A2D" w:sz="18" w:space="8"/>
        </w:pBdr>
        <w:spacing w:after="200" w:before="120"/>
        <w:ind w:left="200"/>
      </w:pPr>
      <w:r>
        <w:rPr>
          <w:rFonts w:ascii="Calibri" w:cs="Calibri" w:eastAsia="Calibri" w:hAnsi="Calibri"/>
          <w:i/>
          <w:iCs/>
          <w:color w:val="5A5D66"/>
          <w:sz w:val="19"/>
          <w:szCs w:val="19"/>
        </w:rPr>
        <w:t xml:space="preserve">Ask for years 2 and 3 in the company’s own numbers. A Board that computes the escalator itself gets argued with; a company that wrote the number down does not argue with it later.</w:t>
      </w:r>
    </w:p>
    <w:p>
      <w:pPr>
        <w:pStyle w:val="Heading1"/>
        <w:spacing w:after="140" w:before="300"/>
      </w:pPr>
      <w:r>
        <w:rPr>
          <w:rFonts w:ascii="Calibri" w:cs="Calibri" w:eastAsia="Calibri" w:hAnsi="Calibri"/>
          <w:b/>
          <w:bCs/>
          <w:color w:val="14161A"/>
          <w:sz w:val="28"/>
          <w:szCs w:val="28"/>
        </w:rPr>
        <w:t xml:space="preserve">Part 4 — Ancillary and a la carte fee schedule</w:t>
      </w:r>
    </w:p>
    <w:p>
      <w:pPr>
        <w:spacing w:after="140" w:line="300"/>
      </w:pPr>
      <w:r>
        <w:rPr>
          <w:rFonts w:ascii="Calibri" w:cs="Calibri" w:eastAsia="Calibri" w:hAnsi="Calibri"/>
          <w:color w:val="14161A"/>
          <w:sz w:val="21"/>
          <w:szCs w:val="21"/>
        </w:rPr>
        <w:t xml:space="preserve">Complete every line. Write “none” where there is no charge. An incomplete schedule will be treated as incomplete.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5400"/>
        <w:gridCol w:w="2200"/>
        <w:gridCol w:w="2000"/>
      </w:tblGrid>
      <w:tr>
        <w:trPr>
          <w:tblHeader/>
        </w:trPr>
        <w:tc>
          <w:tcPr>
            <w:tcW w:type="dxa" w:w="54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Charge</w:t>
            </w:r>
          </w:p>
        </w:tc>
        <w:tc>
          <w:tcPr>
            <w:tcW w:type="dxa" w:w="22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Basis</w:t>
            </w:r>
          </w:p>
        </w:tc>
        <w:tc>
          <w:tcPr>
            <w:tcW w:type="dxa" w:w="20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Amount</w:t>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Onboarding / transition / set-up fee</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one time</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Resale certificate / estoppel</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request</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Rush resale certificate / estoppel</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per request</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Lender questionnaire</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request</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Refinance / condo questionnaire</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per request</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Late notice / delinquency letter</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notice</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Lien preparation and filing</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per lien</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Lien release</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release</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Turnover of file to counsel</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per file</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Violation letter, first / second / third</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letter</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Additional Board or committee meeting</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per meeting</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Annual or special meeting administration</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meeting</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Mailing — printing, postage, handling</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per piece</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Certified mailing</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piece</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Capital project oversight</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 of contract</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Insurance claim administration</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claim or %</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After-hours or emergency call-out</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per call</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Records request / document retrieval</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request</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Site visit beyond stated frequency</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per visit</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Records transfer on termination</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one time</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Early termination fee</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one time</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Bank / lockbox / processing fees retained by you</w:t>
            </w:r>
          </w:p>
        </w:tc>
        <w:tc>
          <w:tcPr>
            <w:tcW w:type="dxa" w:w="22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per month</w:t>
            </w:r>
          </w:p>
        </w:tc>
        <w:tc>
          <w:tcPr>
            <w:tcW w:type="dxa" w:w="2000"/>
            <w:shd w:fill="F5F5F3" w:color="auto" w:val="clear"/>
            <w:tcMar>
              <w:top w:type="dxa" w:w="90"/>
              <w:left w:type="dxa" w:w="120"/>
              <w:bottom w:type="dxa" w:w="90"/>
              <w:right w:type="dxa" w:w="120"/>
            </w:tcMar>
          </w:tcPr>
          <w:p>
            <w:r>
              <w:rPr>
                <w:rFonts w:ascii="Calibri" w:cs="Calibri" w:eastAsia="Calibri" w:hAnsi="Calibri"/>
                <w:color w:val="14161A"/>
                <w:sz w:val="18"/>
                <w:szCs w:val="18"/>
              </w:rPr>
              <w:t xml:space="preserve"/>
            </w:r>
          </w:p>
        </w:tc>
      </w:tr>
      <w:tr>
        <w:tc>
          <w:tcPr>
            <w:tcW w:type="dxa" w:w="5400"/>
            <w:tcMar>
              <w:top w:type="dxa" w:w="90"/>
              <w:left w:type="dxa" w:w="120"/>
              <w:bottom w:type="dxa" w:w="90"/>
              <w:right w:type="dxa" w:w="120"/>
            </w:tcMar>
          </w:tcPr>
          <w:p>
            <w:r>
              <w:rPr>
                <w:rFonts w:ascii="Calibri" w:cs="Calibri" w:eastAsia="Calibri" w:hAnsi="Calibri"/>
                <w:color w:val="14161A"/>
                <w:sz w:val="18"/>
                <w:szCs w:val="18"/>
              </w:rPr>
              <w:t xml:space="preserve">Interest earned on association funds — retained by whom</w:t>
            </w:r>
          </w:p>
        </w:tc>
        <w:tc>
          <w:tcPr>
            <w:tcW w:type="dxa" w:w="2200"/>
            <w:tcMar>
              <w:top w:type="dxa" w:w="90"/>
              <w:left w:type="dxa" w:w="120"/>
              <w:bottom w:type="dxa" w:w="90"/>
              <w:right w:type="dxa" w:w="120"/>
            </w:tcMar>
          </w:tcPr>
          <w:p>
            <w:r>
              <w:rPr>
                <w:rFonts w:ascii="Calibri" w:cs="Calibri" w:eastAsia="Calibri" w:hAnsi="Calibri"/>
                <w:color w:val="14161A"/>
                <w:sz w:val="18"/>
                <w:szCs w:val="18"/>
              </w:rPr>
              <w:t xml:space="preserve">n/a</w:t>
            </w:r>
          </w:p>
        </w:tc>
        <w:tc>
          <w:tcPr>
            <w:tcW w:type="dxa" w:w="2000"/>
            <w:tcMar>
              <w:top w:type="dxa" w:w="90"/>
              <w:left w:type="dxa" w:w="120"/>
              <w:bottom w:type="dxa" w:w="90"/>
              <w:right w:type="dxa" w:w="120"/>
            </w:tcMar>
          </w:tcPr>
          <w:p>
            <w:r>
              <w:rPr>
                <w:rFonts w:ascii="Calibri" w:cs="Calibri" w:eastAsia="Calibri" w:hAnsi="Calibri"/>
                <w:color w:val="14161A"/>
                <w:sz w:val="18"/>
                <w:szCs w:val="18"/>
              </w:rPr>
              <w:t xml:space="preserve"/>
            </w:r>
          </w:p>
        </w:tc>
      </w:tr>
    </w:tbl>
    <w:p>
      <w:pPr>
        <w:spacing w:after="40" w:before="140"/>
      </w:pPr>
      <w:r>
        <w:rPr>
          <w:rFonts w:ascii="Calibri" w:cs="Calibri" w:eastAsia="Calibri" w:hAnsi="Calibri"/>
          <w:b/>
          <w:bCs/>
          <w:color w:val="5A5D66"/>
          <w:sz w:val="20"/>
          <w:szCs w:val="20"/>
        </w:rPr>
        <w:t xml:space="preserve">Any charge not listed above that our association could incur</w:t>
      </w:r>
    </w:p>
    <w:p>
      <w:pPr>
        <w:pBdr>
          <w:bottom w:val="single" w:color="D9D9D6" w:sz="4"/>
        </w:pBdr>
        <w:spacing w:after="90"/>
      </w:pPr>
    </w:p>
    <w:p>
      <w:pPr>
        <w:pBdr>
          <w:bottom w:val="single" w:color="D9D9D6" w:sz="4"/>
        </w:pBdr>
        <w:spacing w:after="90"/>
      </w:pPr>
    </w:p>
    <w:p>
      <w:pPr>
        <w:pBdr>
          <w:bottom w:val="single" w:color="D9D9D6" w:sz="4"/>
        </w:pBdr>
        <w:spacing w:after="90"/>
      </w:pPr>
    </w:p>
    <w:p>
      <w:pPr>
        <w:pStyle w:val="Heading1"/>
        <w:spacing w:after="140" w:before="300"/>
      </w:pPr>
      <w:r>
        <w:rPr>
          <w:rFonts w:ascii="Calibri" w:cs="Calibri" w:eastAsia="Calibri" w:hAnsi="Calibri"/>
          <w:b/>
          <w:bCs/>
          <w:color w:val="14161A"/>
          <w:sz w:val="28"/>
          <w:szCs w:val="28"/>
        </w:rPr>
        <w:t xml:space="preserve">Part 5 — The people and the company</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200"/>
        <w:gridCol w:w="5400"/>
      </w:tblGrid>
      <w:tr>
        <w:trPr>
          <w:tblHeader/>
        </w:trPr>
        <w:tc>
          <w:tcPr>
            <w:tcW w:type="dxa" w:w="42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Question</w:t>
            </w:r>
          </w:p>
        </w:tc>
        <w:tc>
          <w:tcPr>
            <w:tcW w:type="dxa" w:w="54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Your answer</w:t>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Name of the community manager assigned to us</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That person’s credentials (CMCA, AMS, PCAM, state licence number)</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How many other associations that person carries today</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Total doors that person carries today</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Who covers when that person is unavailable</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Manager turnover in your company last year, as a percentage</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Average tenure of your community managers</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Will we be told before our manager is reassigned</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Total associations your company manages</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Total doors your company manages</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Associations lost in the last 24 months, and why</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Company ownership — independent, regional, national, private equity</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Has your company been acquired in the last 3 years</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Accreditation (AAMC or equivalent)</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General liability, E&amp;O, and fidelity / crime bond limits</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Are we named as an additional insured</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bl>
    <w:p>
      <w:pPr>
        <w:pStyle w:val="Heading1"/>
        <w:spacing w:after="140" w:before="300"/>
      </w:pPr>
      <w:r>
        <w:rPr>
          <w:rFonts w:ascii="Calibri" w:cs="Calibri" w:eastAsia="Calibri" w:hAnsi="Calibri"/>
          <w:b/>
          <w:bCs/>
          <w:color w:val="14161A"/>
          <w:sz w:val="28"/>
          <w:szCs w:val="28"/>
        </w:rPr>
        <w:t xml:space="preserve">Part 6 — Service commitments, reporting and technology</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200"/>
        <w:gridCol w:w="5400"/>
      </w:tblGrid>
      <w:tr>
        <w:trPr>
          <w:tblHeader/>
        </w:trPr>
        <w:tc>
          <w:tcPr>
            <w:tcW w:type="dxa" w:w="42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Question</w:t>
            </w:r>
          </w:p>
        </w:tc>
        <w:tc>
          <w:tcPr>
            <w:tcW w:type="dxa" w:w="54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Your answer</w:t>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Response time commitment — homeowner request</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Response time commitment — Board request</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Response time commitment — emergency</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Are those commitments contractual or aspirational</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What happens, contractually, if they are missed</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Day of the month financials are delivered</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What is in the monthly package</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Who reviews the financials before they reach the Board</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Are bank statements provided unopened or in full</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Portal — what a homeowner can do without calling anyone</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Portal — what a Board member can see</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Where AI is used in your service, and where it is not</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Who owns our data</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In what format do we get it back on exit, and how quickly</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tcMar>
              <w:top w:type="dxa" w:w="90"/>
              <w:left w:type="dxa" w:w="120"/>
              <w:bottom w:type="dxa" w:w="90"/>
              <w:right w:type="dxa" w:w="120"/>
            </w:tcMar>
          </w:tcPr>
          <w:p>
            <w:r>
              <w:rPr>
                <w:rFonts w:ascii="Calibri" w:cs="Calibri" w:eastAsia="Calibri" w:hAnsi="Calibri"/>
                <w:color w:val="14161A"/>
                <w:sz w:val="19"/>
                <w:szCs w:val="19"/>
              </w:rPr>
              <w:t xml:space="preserve">Are our funds held in accounts in the association’s name</w:t>
            </w:r>
          </w:p>
        </w:tc>
        <w:tc>
          <w:tcPr>
            <w:tcW w:type="dxa" w:w="5400"/>
            <w:tcMar>
              <w:top w:type="dxa" w:w="90"/>
              <w:left w:type="dxa" w:w="120"/>
              <w:bottom w:type="dxa" w:w="90"/>
              <w:right w:type="dxa" w:w="120"/>
            </w:tcMar>
          </w:tcPr>
          <w:p>
            <w:r>
              <w:rPr>
                <w:rFonts w:ascii="Calibri" w:cs="Calibri" w:eastAsia="Calibri" w:hAnsi="Calibri"/>
                <w:color w:val="14161A"/>
                <w:sz w:val="19"/>
                <w:szCs w:val="19"/>
              </w:rPr>
              <w:t xml:space="preserve"/>
            </w:r>
          </w:p>
        </w:tc>
      </w:tr>
      <w:tr>
        <w:tc>
          <w:tcPr>
            <w:tcW w:type="dxa" w:w="42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Do you retain interest, bank credits, or vendor rebates</w:t>
            </w:r>
          </w:p>
        </w:tc>
        <w:tc>
          <w:tcPr>
            <w:tcW w:type="dxa" w:w="5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
            </w:r>
          </w:p>
        </w:tc>
      </w:tr>
    </w:tbl>
    <w:p>
      <w:pPr>
        <w:spacing w:after="40" w:before="140"/>
      </w:pPr>
      <w:r>
        <w:rPr>
          <w:rFonts w:ascii="Calibri" w:cs="Calibri" w:eastAsia="Calibri" w:hAnsi="Calibri"/>
          <w:b/>
          <w:bCs/>
          <w:color w:val="5A5D66"/>
          <w:sz w:val="20"/>
          <w:szCs w:val="20"/>
        </w:rPr>
        <w:t xml:space="preserve">Three references from associations of our size, in our area, that left in the last two years or are current</w:t>
      </w:r>
    </w:p>
    <w:p>
      <w:pPr>
        <w:pBdr>
          <w:bottom w:val="single" w:color="D9D9D6" w:sz="4"/>
        </w:pBdr>
        <w:spacing w:after="90"/>
      </w:pPr>
    </w:p>
    <w:p>
      <w:pPr>
        <w:pBdr>
          <w:bottom w:val="single" w:color="D9D9D6" w:sz="4"/>
        </w:pBdr>
        <w:spacing w:after="90"/>
      </w:pPr>
    </w:p>
    <w:p>
      <w:pPr>
        <w:pBdr>
          <w:bottom w:val="single" w:color="D9D9D6" w:sz="4"/>
        </w:pBdr>
        <w:spacing w:after="90"/>
      </w:pPr>
    </w:p>
    <w:p>
      <w:pPr>
        <w:pBdr>
          <w:bottom w:val="single" w:color="D9D9D6" w:sz="4"/>
        </w:pBdr>
        <w:spacing w:after="90"/>
      </w:pPr>
    </w:p>
    <w:p>
      <w:pPr>
        <w:pBdr>
          <w:left w:val="single" w:color="CE3A2D" w:sz="18" w:space="8"/>
        </w:pBdr>
        <w:spacing w:after="200" w:before="120"/>
        <w:ind w:left="200"/>
      </w:pPr>
      <w:r>
        <w:rPr>
          <w:rFonts w:ascii="Calibri" w:cs="Calibri" w:eastAsia="Calibri" w:hAnsi="Calibri"/>
          <w:i/>
          <w:iCs/>
          <w:color w:val="5A5D66"/>
          <w:sz w:val="19"/>
          <w:szCs w:val="19"/>
        </w:rPr>
        <w:t xml:space="preserve">Ask for one reference from an association that left. Every company can produce three happy clients. How a company describes a client it lost tells you more than the three that stayed.</w:t>
      </w:r>
    </w:p>
    <w:p>
      <w:pPr>
        <w:pStyle w:val="Heading1"/>
        <w:spacing w:after="140" w:before="300"/>
      </w:pPr>
      <w:r>
        <w:rPr>
          <w:rFonts w:ascii="Calibri" w:cs="Calibri" w:eastAsia="Calibri" w:hAnsi="Calibri"/>
          <w:b/>
          <w:bCs/>
          <w:color w:val="14161A"/>
          <w:sz w:val="28"/>
          <w:szCs w:val="28"/>
        </w:rPr>
        <w:t xml:space="preserve">Part 7 — What we will do with your proposal</w:t>
      </w:r>
    </w:p>
    <w:p>
      <w:pPr>
        <w:spacing w:after="140" w:line="300"/>
      </w:pPr>
      <w:r>
        <w:rPr>
          <w:rFonts w:ascii="Calibri" w:cs="Calibri" w:eastAsia="Calibri" w:hAnsi="Calibri"/>
          <w:color w:val="14161A"/>
          <w:sz w:val="21"/>
          <w:szCs w:val="21"/>
        </w:rPr>
        <w:t xml:space="preserve">We will compare every proposal on total three-year cost, not on the headline monthly fee. That figure includes the base fee with your stated escalator compounded, your onboarding fee, and your ancillary schedule priced at our actual historical volumes. The lowest per-door quote is frequently not the lowest three-year cost, and we will say so plainly if that is the case.</w:t>
      </w:r>
    </w:p>
    <w:p>
      <w:pPr>
        <w:spacing w:after="140" w:line="300"/>
      </w:pPr>
      <w:r>
        <w:rPr>
          <w:rFonts w:ascii="Calibri" w:cs="Calibri" w:eastAsia="Calibri" w:hAnsi="Calibri"/>
          <w:color w:val="14161A"/>
          <w:sz w:val="21"/>
          <w:szCs w:val="21"/>
        </w:rPr>
        <w:t xml:space="preserve">We will not share your pricing with any other bidder. We will tell every company that submits whether it was selected, and if not, why.</w:t>
      </w:r>
    </w:p>
    <w:p>
      <w:pPr>
        <w:pBdr>
          <w:bottom w:val="single" w:color="D9D9D6" w:sz="6"/>
        </w:pBdr>
        <w:spacing w:after="200" w:before="60"/>
      </w:pPr>
    </w:p>
    <w:p>
      <w:pPr>
        <w:spacing w:before="100"/>
      </w:pPr>
      <w:r>
        <w:rPr>
          <w:rFonts w:ascii="Calibri" w:cs="Calibri" w:eastAsia="Calibri" w:hAnsi="Calibri"/>
          <w:i/>
          <w:iCs/>
          <w:color w:val="5A5D66"/>
          <w:sz w:val="16"/>
          <w:szCs w:val="16"/>
        </w:rPr>
        <w:t xml:space="preserve">This document is provided free by BoardMatch and may be used, edited and distributed by any community association without attribution or permission. It is not legal advice. Have your association’s counsel review any notice or contract before it is sent or signed.</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200"/>
      <w:jc w:val="center"/>
    </w:pPr>
    <w:r>
      <w:rPr>
        <w:rFonts w:ascii="Calibri" w:cs="Calibri" w:eastAsia="Calibri" w:hAnsi="Calibri"/>
        <w:color w:val="5A5D66"/>
        <w:sz w:val="16"/>
        <w:szCs w:val="16"/>
      </w:rPr>
      <w:t xml:space="preserve">BoardMatch  ·  myboardmatch.com  ·  Free for Boards, always.  ·  Page </w:t>
    </w:r>
    <w:r>
      <w:rPr>
        <w:rFonts w:ascii="Calibri" w:cs="Calibri" w:eastAsia="Calibri" w:hAnsi="Calibri"/>
        <w:color w:val="5A5D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6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2026-08-13T16:25:23.258Z</dcterms:created>
  <dcterms:modified xsi:type="dcterms:W3CDTF">2026-08-13T16:25:23.259Z</dcterms:modified>
</cp:coreProperties>
</file>

<file path=docProps/custom.xml><?xml version="1.0" encoding="utf-8"?>
<Properties xmlns="http://schemas.openxmlformats.org/officeDocument/2006/custom-properties" xmlns:vt="http://schemas.openxmlformats.org/officeDocument/2006/docPropsVTypes"/>
</file>